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1" w:rsidRPr="009C4DC1" w:rsidRDefault="007066B4" w:rsidP="009C4DC1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="009C4DC1" w:rsidRPr="009C4D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1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9C4DC1" w:rsidRPr="009C4DC1" w:rsidRDefault="009C4DC1" w:rsidP="009C4DC1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C83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706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C8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№ </w:t>
      </w:r>
      <w:r w:rsidR="00C830C1" w:rsidRPr="00C83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</w:t>
      </w:r>
      <w:r w:rsidR="00C8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9C4DC1" w:rsidRPr="009C4DC1" w:rsidRDefault="009C4DC1" w:rsidP="009C4DC1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C4DC1" w:rsidRPr="009C4DC1" w:rsidRDefault="009C4DC1" w:rsidP="009C4DC1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конкурса………………...……….…………………4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конкурса……..….…………….8-10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конкурса……………………............………...…….11-26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9C4DC1" w:rsidRPr="009C4DC1" w:rsidRDefault="009C4DC1" w:rsidP="009C4DC1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конкурсе…………………………………………………………………27</w:t>
      </w:r>
    </w:p>
    <w:p w:rsidR="009C4DC1" w:rsidRPr="009C4DC1" w:rsidRDefault="009C4DC1" w:rsidP="009C4DC1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заявки………………………………………………………………..…..29</w:t>
      </w:r>
    </w:p>
    <w:p w:rsidR="009C4DC1" w:rsidRPr="009C4DC1" w:rsidRDefault="009C4DC1" w:rsidP="009C4DC1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домом………………………30 - 65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часть………………………………………………………………..66-71</w:t>
      </w:r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9C4DC1" w:rsidRPr="009C4DC1" w:rsidRDefault="009C4DC1" w:rsidP="009C4DC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9C4DC1" w:rsidRPr="009C4DC1" w:rsidRDefault="009C4DC1" w:rsidP="009C4DC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9C4DC1" w:rsidRPr="009C4DC1" w:rsidRDefault="009C4DC1" w:rsidP="009C4DC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0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4DC1" w:rsidRPr="009C4DC1" w:rsidRDefault="009C4DC1" w:rsidP="009C4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9C4DC1" w:rsidRPr="009C4DC1" w:rsidRDefault="009C4DC1" w:rsidP="009C4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9C4DC1" w:rsidRPr="009C4DC1" w:rsidRDefault="009C4DC1" w:rsidP="009C4DC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9C4DC1" w:rsidRPr="009C4DC1" w:rsidRDefault="009C4DC1" w:rsidP="009C4DC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9C4DC1" w:rsidRPr="009C4DC1" w:rsidRDefault="009C4DC1" w:rsidP="009C4DC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9C4DC1" w:rsidRPr="009C4DC1" w:rsidRDefault="009C4DC1" w:rsidP="009C4DC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9C4DC1" w:rsidRPr="009C4DC1" w:rsidRDefault="009C4DC1" w:rsidP="009C4DC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9C4DC1" w:rsidRPr="009C4DC1" w:rsidRDefault="009C4DC1" w:rsidP="009C4DC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C4DC1" w:rsidRPr="009C4DC1" w:rsidRDefault="009C4DC1" w:rsidP="009C4DC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5-19-91.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9C4DC1" w:rsidRPr="009C4DC1" w:rsidRDefault="009C4DC1" w:rsidP="009C4DC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9C4DC1" w:rsidRPr="009C4DC1" w:rsidRDefault="009C4DC1" w:rsidP="009C4D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Мира д.14.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9" w:history="1"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5-19-91.</w:t>
      </w:r>
      <w:proofErr w:type="gramEnd"/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4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9C4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10" w:history="1"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1" w:history="1"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CF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</w:t>
      </w:r>
      <w:bookmarkStart w:id="1" w:name="_GoBack"/>
      <w:bookmarkEnd w:id="1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час.00 мин. </w:t>
      </w:r>
      <w:r w:rsidR="00131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«17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131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DC1" w:rsidRPr="009C4DC1" w:rsidRDefault="009C4DC1" w:rsidP="009C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9C4DC1" w:rsidRPr="009C4DC1" w:rsidRDefault="009C4DC1" w:rsidP="009C4DC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1B4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</w:t>
      </w:r>
      <w:r w:rsidR="00CF5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ие в конкурсе будут вскрыты в 14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00 </w:t>
      </w:r>
      <w:r w:rsidR="00131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мин. «17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131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2017г.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2017г.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CF54AF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14</w:t>
      </w:r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«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 2017г.</w:t>
      </w:r>
      <w:r w:rsidR="009C4DC1" w:rsidRPr="009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9C4DC1" w:rsidRPr="009C4DC1" w:rsidRDefault="009C4DC1" w:rsidP="009C4DC1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9 751,08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Девять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мьсот 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тьдесят 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коп.) рублей.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9C4DC1" w:rsidRPr="009C4DC1" w:rsidRDefault="009C4DC1" w:rsidP="009C4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9C4DC1" w:rsidRPr="009C4DC1" w:rsidRDefault="009C4DC1" w:rsidP="009C4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131B41">
        <w:rPr>
          <w:rFonts w:ascii="Times New Roman" w:eastAsia="Times New Roman" w:hAnsi="Times New Roman" w:cs="Times New Roman"/>
          <w:b/>
          <w:sz w:val="24"/>
          <w:szCs w:val="24"/>
        </w:rPr>
        <w:t>975,11 (Девят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 xml:space="preserve">ьсот семьдесят </w:t>
      </w:r>
      <w:r w:rsidR="00131B41">
        <w:rPr>
          <w:rFonts w:ascii="Times New Roman" w:eastAsia="Times New Roman" w:hAnsi="Times New Roman" w:cs="Times New Roman"/>
          <w:b/>
          <w:sz w:val="24"/>
          <w:szCs w:val="24"/>
        </w:rPr>
        <w:t>пя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 xml:space="preserve">ть рублей </w:t>
      </w:r>
      <w:r w:rsidR="00131B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 рублей.</w:t>
      </w:r>
    </w:p>
    <w:p w:rsidR="009C4DC1" w:rsidRPr="009C4DC1" w:rsidRDefault="009C4DC1" w:rsidP="009C4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9C4DC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9C4DC1" w:rsidRPr="009C4DC1" w:rsidRDefault="009C4DC1" w:rsidP="009C4DC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9C4DC1" w:rsidRPr="009C4DC1" w:rsidRDefault="009C4DC1" w:rsidP="00131B4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4DC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9C4DC1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9C4DC1" w:rsidRPr="009C4DC1" w:rsidRDefault="009C4DC1" w:rsidP="009C4D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9C4DC1" w:rsidRPr="009C4DC1" w:rsidTr="002C5ADE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C1" w:rsidRPr="009C4DC1" w:rsidSect="009477CD">
          <w:headerReference w:type="default" r:id="rId12"/>
          <w:footerReference w:type="default" r:id="rId13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9C4DC1" w:rsidRPr="009C4DC1" w:rsidRDefault="009C4DC1" w:rsidP="009C4DC1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9C4DC1" w:rsidRPr="009C4DC1" w:rsidRDefault="009C4DC1" w:rsidP="009C4DC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9C4DC1" w:rsidRPr="009C4DC1" w:rsidRDefault="009C4DC1" w:rsidP="009C4DC1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63"/>
        <w:gridCol w:w="683"/>
        <w:gridCol w:w="621"/>
        <w:gridCol w:w="621"/>
        <w:gridCol w:w="411"/>
        <w:gridCol w:w="711"/>
        <w:gridCol w:w="1066"/>
        <w:gridCol w:w="966"/>
        <w:gridCol w:w="537"/>
        <w:gridCol w:w="517"/>
        <w:gridCol w:w="537"/>
        <w:gridCol w:w="537"/>
        <w:gridCol w:w="540"/>
        <w:gridCol w:w="537"/>
        <w:gridCol w:w="471"/>
        <w:gridCol w:w="471"/>
        <w:gridCol w:w="793"/>
        <w:gridCol w:w="754"/>
      </w:tblGrid>
      <w:tr w:rsidR="009C4DC1" w:rsidRPr="009C4DC1" w:rsidTr="002C5ADE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9C4DC1" w:rsidRPr="009C4DC1" w:rsidRDefault="00131B4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(16,73</w:t>
            </w:r>
            <w:r w:rsidR="009C4DC1"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9C4DC1"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9C4DC1"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9C4DC1" w:rsidRPr="009C4DC1" w:rsidRDefault="009C4DC1" w:rsidP="009C4DC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9C4DC1" w:rsidRPr="009C4DC1" w:rsidRDefault="009C4DC1" w:rsidP="009C4DC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9C4DC1" w:rsidRPr="009C4DC1" w:rsidTr="002C5ADE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DC1" w:rsidRPr="009C4DC1" w:rsidRDefault="009C4DC1" w:rsidP="009C4DC1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9C4DC1" w:rsidRPr="009C4DC1" w:rsidTr="002C5ADE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9C4DC1" w:rsidRPr="009C4DC1" w:rsidTr="002C5ADE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д. 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126096,36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10508,03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C4DC1" w:rsidRPr="009C4DC1" w:rsidTr="002C5ADE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3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131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31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</w: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131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131B4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12 711,45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=0,5) составляет О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 (1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131B41">
        <w:rPr>
          <w:rFonts w:ascii="Times New Roman" w:eastAsia="Times New Roman" w:hAnsi="Times New Roman" w:cs="Times New Roman"/>
          <w:sz w:val="24"/>
          <w:szCs w:val="24"/>
          <w:lang w:eastAsia="ru-RU"/>
        </w:rPr>
        <w:t>9751,08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C1" w:rsidRPr="009C4DC1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C4DC1" w:rsidRPr="009C4DC1" w:rsidRDefault="009C4DC1" w:rsidP="009C4DC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9C4DC1" w:rsidRPr="009C4DC1" w:rsidRDefault="009C4DC1" w:rsidP="009C4DC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9C4DC1" w:rsidRPr="009C4DC1" w:rsidTr="002B05B3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2B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B3" w:rsidRDefault="002B05B3" w:rsidP="002B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2B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9C4DC1" w:rsidRPr="009C4DC1" w:rsidTr="002C5ADE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2B05B3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2B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9C4DC1" w:rsidRPr="009C4DC1" w:rsidTr="002C5AD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2017г.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2B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2B05B3" w:rsidRDefault="002B05B3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9C4DC1" w:rsidRPr="009C4DC1" w:rsidTr="002C5ADE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</w:t>
            </w:r>
            <w:r w:rsidR="002B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2017г.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9C4DC1" w:rsidRPr="009C4DC1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9C4DC1" w:rsidRPr="009C4DC1" w:rsidRDefault="009C4DC1" w:rsidP="009C4DC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C4DC1" w:rsidRPr="009C4DC1" w:rsidRDefault="009C4DC1" w:rsidP="009C4DC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9C4DC1" w:rsidRPr="009C4DC1" w:rsidRDefault="009C4DC1" w:rsidP="009C4D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9C4DC1" w:rsidRPr="009C4DC1" w:rsidRDefault="009C4DC1" w:rsidP="009C4D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9C4DC1" w:rsidRPr="009C4DC1" w:rsidRDefault="009C4DC1" w:rsidP="009C4D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9C4DC1" w:rsidRPr="009C4DC1" w:rsidTr="002C5A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9C4DC1" w:rsidRPr="009C4DC1" w:rsidTr="002C5A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Мира, д.14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696A52" w:rsidP="009C4DC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9C4DC1" w:rsidRPr="009C4DC1" w:rsidRDefault="00696A52" w:rsidP="009C4DC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9C4DC1" w:rsidRPr="009C4DC1" w:rsidRDefault="00696A52" w:rsidP="009C4DC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9C4DC1" w:rsidRPr="009C4DC1" w:rsidRDefault="00696A52" w:rsidP="00696A52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12.07</w:t>
            </w:r>
            <w:r w:rsidR="009C4DC1"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9C4DC1" w:rsidRPr="009C4DC1" w:rsidRDefault="009C4DC1" w:rsidP="009C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9C4DC1" w:rsidRPr="009C4DC1" w:rsidRDefault="009C4DC1" w:rsidP="009C4DC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9C4DC1" w:rsidRPr="009C4DC1" w:rsidRDefault="009C4DC1" w:rsidP="009C4DC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5-19-91</w:t>
            </w:r>
          </w:p>
        </w:tc>
      </w:tr>
    </w:tbl>
    <w:p w:rsidR="009C4DC1" w:rsidRPr="009C4DC1" w:rsidRDefault="009C4DC1" w:rsidP="009C4D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9C4DC1" w:rsidRPr="009C4DC1" w:rsidRDefault="009C4DC1" w:rsidP="009C4DC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4" w:history="1"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4D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9C4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9C4DC1" w:rsidRPr="009C4DC1" w:rsidRDefault="009C4DC1" w:rsidP="009C4DC1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9C4DC1" w:rsidRPr="009C4DC1" w:rsidRDefault="009C4DC1" w:rsidP="009C4DC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9C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4DC1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9C4DC1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5" w:history="1">
        <w:r w:rsidRPr="009C4DC1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9C4DC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9C4DC1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9C4D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9C4D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9C4DC1" w:rsidRPr="009C4DC1" w:rsidRDefault="009C4DC1" w:rsidP="009C4DC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9C4DC1" w:rsidRPr="009C4DC1" w:rsidRDefault="009C4DC1" w:rsidP="009C4DC1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9C4DC1" w:rsidRDefault="009C4DC1" w:rsidP="001A0F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6" w:history="1"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1A0F7E" w:rsidRPr="009C4DC1" w:rsidRDefault="001A0F7E" w:rsidP="001A0F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9C4DC1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9C4DC1" w:rsidRPr="009C4DC1" w:rsidRDefault="009C4DC1" w:rsidP="009C4D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9C4DC1" w:rsidRPr="009C4DC1" w:rsidRDefault="009C4DC1" w:rsidP="009C4D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9C4DC1" w:rsidRPr="009C4DC1" w:rsidRDefault="009C4DC1" w:rsidP="009C4D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9C4DC1" w:rsidRPr="009C4DC1" w:rsidRDefault="009C4DC1" w:rsidP="009C4D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C4DC1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DC1" w:rsidRPr="009C4DC1" w:rsidRDefault="009C4DC1" w:rsidP="009C4D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1A0F7E" w:rsidRDefault="001A0F7E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9C4DC1" w:rsidRPr="009C4DC1" w:rsidRDefault="009C4DC1" w:rsidP="009C4DC1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9C4DC1" w:rsidRPr="009C4DC1" w:rsidRDefault="009C4DC1" w:rsidP="009C4D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9C4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9C4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9C4DC1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9C4DC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9C4DC1">
        <w:t>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7" w:history="1"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9C4D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9C4DC1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9C4DC1" w:rsidRPr="009C4DC1" w:rsidRDefault="009C4DC1" w:rsidP="009C4DC1">
      <w:pPr>
        <w:widowControl w:val="0"/>
        <w:spacing w:after="0" w:line="240" w:lineRule="auto"/>
        <w:jc w:val="both"/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C1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9C4DC1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9C4DC1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9C4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4DC1" w:rsidRPr="009C4DC1" w:rsidRDefault="009C4DC1" w:rsidP="009C4DC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9C4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9C4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9C4DC1" w:rsidRPr="009C4DC1" w:rsidRDefault="009C4DC1" w:rsidP="009C4DC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9C4D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8" w:history="1">
        <w:r w:rsidRPr="009C4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9C4DC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9C4DC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C4DC1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9C4DC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C4DC1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9C4DC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C4DC1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693767" wp14:editId="207F2B88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9C4DC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B5D453" wp14:editId="5F9F5EC6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03BDFB" wp14:editId="2A9BF6D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585EFC" wp14:editId="2540AD8C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3" w:history="1">
        <w:r w:rsidRPr="009C4D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9C4DC1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4" w:history="1">
        <w:r w:rsidRPr="009C4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5" w:history="1">
        <w:r w:rsidRPr="009C4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C1" w:rsidRPr="009C4DC1" w:rsidSect="009477CD">
          <w:footerReference w:type="default" r:id="rId26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9C4DC1" w:rsidRPr="009C4DC1" w:rsidRDefault="009C4DC1" w:rsidP="009C4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9C4DC1" w:rsidRPr="009C4DC1" w:rsidRDefault="009C4DC1" w:rsidP="009C4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9C4DC1" w:rsidRPr="009C4DC1" w:rsidRDefault="009C4DC1" w:rsidP="009C4DC1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C4DC1" w:rsidRPr="009C4DC1" w:rsidRDefault="009C4DC1" w:rsidP="009C4DC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9C4DC1" w:rsidRPr="009C4DC1" w:rsidRDefault="009C4DC1" w:rsidP="009C4DC1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D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9C4DC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C4DC1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счета)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9C4DC1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9C4DC1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9C4DC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C4DC1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9C4DC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C4DC1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9C4DC1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9C4DC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9C4DC1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9C4DC1">
        <w:rPr>
          <w:rFonts w:ascii="Times New Roman" w:eastAsia="Times New Roman" w:hAnsi="Times New Roman" w:cs="Times New Roman"/>
          <w:lang w:eastAsia="ru-RU"/>
        </w:rPr>
        <w:t>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"__" _____________ 200_ г.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М.П.</w:t>
      </w: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DC1" w:rsidRPr="009C4DC1" w:rsidRDefault="009C4DC1" w:rsidP="009C4D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9C4DC1" w:rsidRPr="009C4DC1" w:rsidRDefault="009C4DC1" w:rsidP="009C4D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4DC1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4DC1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4DC1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4DC1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9C4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200_ г.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87360B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</w:t>
      </w:r>
      <w:r w:rsidR="009C4DC1"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C1" w:rsidRPr="009C4DC1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9C4DC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9C4DC1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9C4DC1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4DC1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9C4DC1" w:rsidRPr="009C4DC1" w:rsidRDefault="009C4DC1" w:rsidP="009C4DC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C4DC1" w:rsidRPr="009C4DC1" w:rsidRDefault="009C4DC1" w:rsidP="009C4DC1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9C4DC1" w:rsidRPr="009C4DC1" w:rsidRDefault="009C4DC1" w:rsidP="009C4DC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</w:t>
      </w:r>
      <w:r w:rsidR="00546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="00546D4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Карабаново Александровского района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9C4DC1" w:rsidRPr="009C4DC1" w:rsidRDefault="009C4DC1" w:rsidP="009C4DC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9C4DC1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9C4DC1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695FA2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95FA2" w:rsidRDefault="00695FA2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695F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9C4DC1" w:rsidRPr="009C4DC1" w:rsidRDefault="009C4DC1" w:rsidP="009C4D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9C4DC1" w:rsidRPr="009C4DC1" w:rsidRDefault="009C4DC1" w:rsidP="009C4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9C4DC1" w:rsidRPr="009C4DC1" w:rsidRDefault="009C4DC1" w:rsidP="009C4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9C4DC1" w:rsidRPr="009C4DC1" w:rsidRDefault="009C4DC1" w:rsidP="009C4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9C4DC1" w:rsidRPr="009C4DC1" w:rsidRDefault="009C4DC1" w:rsidP="009C4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9C4DC1" w:rsidRPr="009C4DC1" w:rsidRDefault="009C4DC1" w:rsidP="009C4D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4D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9C4DC1" w:rsidRPr="009C4DC1" w:rsidRDefault="009C4DC1" w:rsidP="009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C1" w:rsidRPr="009C4DC1" w:rsidSect="009477CD">
          <w:headerReference w:type="default" r:id="rId27"/>
          <w:headerReference w:type="first" r:id="rId28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УПРАВЛЕНИЯ МНОГОКВАРТИРНЫМ ДОМОМ</w:t>
      </w:r>
    </w:p>
    <w:p w:rsidR="009C4DC1" w:rsidRPr="009C4DC1" w:rsidRDefault="009C4DC1" w:rsidP="009C4DC1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управления многоквартирным домом,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г. Карабаново                                                                                     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Управляющая организация), в лице ______________________________________________________________________________________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представителя,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(учредительные документы/доверенность)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(реквизиты решения конкурсной комиссии и т.п.)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«__»________20___ №______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49"/>
      <w:bookmarkEnd w:id="62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иную направленную на достижение целей управления МКД деятельность.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78"/>
      <w:bookmarkEnd w:id="63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управление МКД в соответствии с условиями Договора, обязательными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9C4D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9C4D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r97"/>
      <w:bookmarkEnd w:id="64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4"/>
      <w:bookmarkEnd w:id="65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организацией.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ar119"/>
      <w:bookmarkEnd w:id="67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Требовать допуска в занимаемое Собственником помещение работников или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r121"/>
      <w:bookmarkEnd w:id="68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ar132"/>
      <w:bookmarkEnd w:id="69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приемка выполненных работ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осмотрах общего имущества Собственников помещений в МКД;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неправомерных действий Собственников;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требований к качеству предоставления коммунальных услуг;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общему имуществу Собственников.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 и время его составления;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определения цены договора, размера платы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жилого помещения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ar134"/>
      <w:bookmarkEnd w:id="70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9C4DC1" w:rsidRPr="009C4DC1" w:rsidRDefault="009C4DC1" w:rsidP="009C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 Управляющей организации.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Российской Федерации.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ar141"/>
      <w:bookmarkEnd w:id="71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внесения платежей, установленных </w:t>
      </w:r>
      <w:hyperlink r:id="rId29" w:anchor="Par132" w:history="1">
        <w:r w:rsidRPr="009C4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</w:t>
        </w:r>
      </w:hyperlink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ar152"/>
      <w:bookmarkEnd w:id="72"/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ar159"/>
      <w:bookmarkEnd w:id="73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действия, порядок изменения и расторжения Договора.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161"/>
      <w:bookmarkEnd w:id="74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Собственников.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прекращает свое действие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ar168"/>
      <w:bookmarkEnd w:id="75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ar173"/>
      <w:bookmarkEnd w:id="76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Договора.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Реестр собственников многоквартирного дома.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N 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Аварийно-диспетчерская служба: тел. ________________________________________.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9C4DC1" w:rsidRPr="009C4DC1" w:rsidTr="002C5ADE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77" w:name="Par220"/>
            <w:bookmarkEnd w:id="77"/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695FA2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9C4DC1" w:rsidRPr="009C4DC1" w:rsidTr="002C5ADE">
        <w:tc>
          <w:tcPr>
            <w:tcW w:w="1284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2827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20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 удостоверяющего личност</w:t>
            </w:r>
            <w:proofErr w:type="gramStart"/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9C4DC1" w:rsidRPr="009C4DC1" w:rsidTr="002C5ADE">
        <w:tc>
          <w:tcPr>
            <w:tcW w:w="1284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1284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1284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1284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9C4DC1" w:rsidRPr="009C4DC1" w:rsidRDefault="009C4DC1" w:rsidP="009C4D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695FA2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имущества собственников помещений в многоквартирном доме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9C4DC1" w:rsidRPr="009C4DC1" w:rsidTr="002C5ADE">
        <w:trPr>
          <w:trHeight w:val="315"/>
        </w:trPr>
        <w:tc>
          <w:tcPr>
            <w:tcW w:w="550" w:type="dxa"/>
            <w:noWrap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сведения о многоквартирном доме.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noWrap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тип постройки -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фактического износа -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капитального ремонта -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-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правовых актов о признании жилых помещений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проживания) -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Техническое состояние многоквартирного дома, включая пристройки.</w:t>
            </w: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9C4DC1" w:rsidRPr="009C4DC1" w:rsidTr="002C5AD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15"/>
        </w:trPr>
        <w:tc>
          <w:tcPr>
            <w:tcW w:w="550" w:type="dxa"/>
            <w:noWrap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БТИ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C4DC1" w:rsidRPr="009C4DC1" w:rsidTr="002C5ADE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A2" w:rsidRDefault="00695FA2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A2" w:rsidRDefault="00695FA2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A2" w:rsidRPr="009C4DC1" w:rsidRDefault="00695FA2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 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9C4DC1" w:rsidRPr="009C4DC1" w:rsidTr="002C5ADE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плата (рублей)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_____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жилой </w:t>
            </w:r>
          </w:p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(руб. в месяц)</w:t>
            </w:r>
          </w:p>
        </w:tc>
      </w:tr>
      <w:tr w:rsidR="009C4DC1" w:rsidRPr="009C4DC1" w:rsidTr="002C5ADE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DC1" w:rsidRPr="009C4DC1" w:rsidTr="002C5ADE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и систем водоотвода фундамента. При выявлении нарушений – восстановление их 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Работы, выполняемые в целях надлежащего содержания полов помещений, относящихся к общему </w:t>
            </w: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каналах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C1" w:rsidRPr="009C4DC1" w:rsidRDefault="009C4DC1" w:rsidP="009C4D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C4DC1" w:rsidRPr="009C4DC1" w:rsidTr="002C5ADE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3.1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(работ) по управлению многоквартирным домом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9C4DC1" w:rsidRPr="009C4DC1" w:rsidRDefault="009C4DC1" w:rsidP="009C4DC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расчетных документов и копий лицевых счетов, составление актов;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 санитарного содержания зданий и придомовой территории;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информационные стенды в управляющей организации;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официальный сайт управляющей организации;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справочные, методические, информационные и иные материалы;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многоквартирном доме;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собственников помещений в многоквартирном доме;</w:t>
      </w:r>
    </w:p>
    <w:p w:rsidR="009C4DC1" w:rsidRPr="009C4DC1" w:rsidRDefault="009C4DC1" w:rsidP="009C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9C4DC1" w:rsidRPr="009C4DC1" w:rsidRDefault="009C4DC1" w:rsidP="009C4D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жилищно-коммунальных услуг;</w:t>
      </w:r>
    </w:p>
    <w:p w:rsidR="009C4DC1" w:rsidRPr="009C4DC1" w:rsidRDefault="009C4DC1" w:rsidP="009C4D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выполненных работ.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C4DC1" w:rsidRPr="009C4DC1" w:rsidTr="002C5ADE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9C4DC1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9C4DC1" w:rsidRPr="009C4DC1">
          <w:pgSz w:w="11906" w:h="16838"/>
          <w:pgMar w:top="709" w:right="386" w:bottom="360" w:left="1077" w:header="709" w:footer="709" w:gutter="0"/>
          <w:cols w:space="720"/>
        </w:sect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9C4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составления:______________________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7"/>
        <w:gridCol w:w="848"/>
        <w:gridCol w:w="894"/>
        <w:gridCol w:w="1041"/>
        <w:gridCol w:w="2494"/>
        <w:gridCol w:w="1581"/>
        <w:gridCol w:w="2015"/>
        <w:gridCol w:w="3517"/>
      </w:tblGrid>
      <w:tr w:rsidR="009C4DC1" w:rsidRPr="009C4DC1" w:rsidTr="002C5ADE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месяц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(отметка об исполнении)</w:t>
            </w:r>
          </w:p>
        </w:tc>
      </w:tr>
      <w:tr w:rsidR="009C4DC1" w:rsidRPr="009C4DC1" w:rsidTr="002C5ADE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гр.9</w:t>
            </w:r>
          </w:p>
        </w:tc>
      </w:tr>
      <w:tr w:rsidR="009C4DC1" w:rsidRPr="009C4DC1" w:rsidTr="002C5ADE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DC1" w:rsidRPr="009C4DC1" w:rsidTr="002C5ADE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DC1" w:rsidRPr="009C4DC1" w:rsidTr="002C5ADE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C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ИП)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9C4DC1" w:rsidRPr="009C4DC1" w:rsidTr="002C5ADE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C1" w:rsidRPr="009C4DC1" w:rsidTr="002C5AD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9C4DC1" w:rsidRPr="009C4DC1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9C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"_____" 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9C4DC1" w:rsidRPr="009C4DC1" w:rsidRDefault="009C4DC1" w:rsidP="009C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C4DC1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9C4DC1" w:rsidRPr="009C4DC1" w:rsidRDefault="009C4DC1" w:rsidP="009C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ru-RU"/>
        </w:rPr>
        <w:t>(Ф.И.О.)</w:t>
      </w:r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по "___" _______________ </w:t>
      </w:r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C4DC1" w:rsidRPr="009C4DC1" w:rsidRDefault="009C4DC1" w:rsidP="009C4DC1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9C4DC1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9C4DC1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DC1" w:rsidRPr="009C4DC1" w:rsidRDefault="009C4DC1" w:rsidP="009C4DC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9C4DC1" w:rsidRPr="009C4DC1" w:rsidRDefault="009C4DC1" w:rsidP="009C4D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9C4DC1" w:rsidRPr="009C4DC1" w:rsidRDefault="009C4DC1" w:rsidP="009C4D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составил ________ руб./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C4DC1" w:rsidRPr="009C4DC1" w:rsidRDefault="009C4DC1" w:rsidP="009C4D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Подписи сторон</w:t>
      </w:r>
    </w:p>
    <w:p w:rsidR="009C4DC1" w:rsidRPr="009C4DC1" w:rsidRDefault="009C4DC1" w:rsidP="009C4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Управляющая организация:                           </w:t>
      </w:r>
      <w:r w:rsidRPr="009C4DC1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______________________/_____________________/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48"/>
        <w:gridCol w:w="3715"/>
        <w:gridCol w:w="2733"/>
      </w:tblGrid>
      <w:tr w:rsidR="009C4DC1" w:rsidRPr="009C4DC1" w:rsidTr="002C5ADE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9C4DC1" w:rsidRPr="009C4DC1" w:rsidRDefault="009C4DC1" w:rsidP="009C4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мест общего пользования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9C4DC1" w:rsidRPr="009C4DC1" w:rsidTr="002C5ADE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содержание и ремонт жилого помещения, включает в себя</w:t>
            </w:r>
          </w:p>
        </w:tc>
      </w:tr>
      <w:tr w:rsidR="009C4DC1" w:rsidRPr="009C4DC1" w:rsidTr="002C5A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мест общего пользования, за1 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площади в месяц, руб.</w:t>
            </w:r>
          </w:p>
        </w:tc>
      </w:tr>
      <w:tr w:rsidR="009C4DC1" w:rsidRPr="009C4DC1" w:rsidTr="002C5A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DC1" w:rsidRPr="009C4DC1" w:rsidTr="002C5A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этажный многоквартирный дом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DC1" w:rsidRPr="009C4DC1" w:rsidRDefault="009C4DC1" w:rsidP="009C4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C1" w:rsidRPr="009C4DC1" w:rsidRDefault="009C4DC1" w:rsidP="009C4DC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21"/>
        <w:gridCol w:w="3748"/>
        <w:gridCol w:w="2697"/>
      </w:tblGrid>
      <w:tr w:rsidR="009C4DC1" w:rsidRPr="009C4DC1" w:rsidTr="002C5ADE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C4DC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C4DC1" w:rsidRPr="009C4DC1" w:rsidTr="002C5A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9C4DC1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9C4DC1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9C4DC1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9C4DC1" w:rsidRPr="009C4DC1" w:rsidRDefault="009C4DC1" w:rsidP="009C4DC1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9C4DC1" w:rsidRPr="009C4DC1" w:rsidRDefault="009C4DC1" w:rsidP="009C4DC1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/>
    <w:p w:rsidR="009C4DC1" w:rsidRPr="009C4DC1" w:rsidRDefault="009C4DC1" w:rsidP="009C4DC1"/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Часть3</w:t>
      </w: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DC1" w:rsidRPr="009C4DC1" w:rsidRDefault="009C4DC1" w:rsidP="009C4DC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9C4DC1" w:rsidRPr="009C4DC1" w:rsidRDefault="009C4DC1" w:rsidP="009C4D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C96" w:rsidRPr="009C4DC1" w:rsidRDefault="006F6C96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C4DC1" w:rsidRPr="009C4DC1" w:rsidRDefault="009C4DC1" w:rsidP="009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9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9C4DC1" w:rsidRPr="009C4DC1" w:rsidRDefault="009C4DC1" w:rsidP="009C4DC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9C4DC1" w:rsidRPr="009C4DC1" w:rsidRDefault="009C4DC1" w:rsidP="009C4DC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9C4DC1" w:rsidRPr="009C4DC1" w:rsidRDefault="009C4DC1" w:rsidP="009C4DC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4DC1" w:rsidRPr="009C4DC1" w:rsidSect="009477CD">
          <w:headerReference w:type="default" r:id="rId30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EE34D6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</w:t>
      </w:r>
      <w:r w:rsidR="00E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DC1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9C4DC1">
        <w:rPr>
          <w:rFonts w:ascii="Times New Roman" w:eastAsia="Times New Roman" w:hAnsi="Times New Roman" w:cs="Times New Roman"/>
          <w:lang w:eastAsia="zh-CN"/>
        </w:rPr>
      </w:r>
      <w:r w:rsidRPr="009C4DC1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9C4DC1">
        <w:rPr>
          <w:rFonts w:ascii="Times New Roman" w:eastAsia="Times New Roman" w:hAnsi="Times New Roman" w:cs="Times New Roman"/>
          <w:lang w:eastAsia="zh-CN"/>
        </w:rPr>
        <w:t>www.adminkar@mail.ru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fldChar w:fldCharType="end"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C4DC1" w:rsidRPr="009C4DC1" w:rsidRDefault="009C4DC1" w:rsidP="009C4D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Мира, д. 44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3.Серия, тип постройки____ жилой дом_________________________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постройки_______1939 г.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58% на 2002 год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5953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1525,6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759,8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359,9                      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108,5 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108,5___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2187,0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9C4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33:01:001718:229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4DC1" w:rsidRPr="009C4DC1" w:rsidTr="002C5A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C4DC1" w:rsidRPr="009C4DC1" w:rsidTr="002C5A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Ленточный, кирпичный 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Кирпичные, 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 xml:space="preserve">В санузлах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  <w:proofErr w:type="gramEnd"/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частично требует ремонта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EE34D6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</w:t>
      </w:r>
      <w:r w:rsidR="00E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DC1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9C4DC1">
        <w:rPr>
          <w:rFonts w:ascii="Times New Roman" w:eastAsia="Times New Roman" w:hAnsi="Times New Roman" w:cs="Times New Roman"/>
          <w:lang w:eastAsia="zh-CN"/>
        </w:rPr>
      </w:r>
      <w:r w:rsidRPr="009C4DC1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9C4DC1">
        <w:rPr>
          <w:rFonts w:ascii="Times New Roman" w:eastAsia="Times New Roman" w:hAnsi="Times New Roman" w:cs="Times New Roman"/>
          <w:lang w:eastAsia="zh-CN"/>
        </w:rPr>
        <w:t>www.adminkar@mail.ru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t> </w:t>
      </w:r>
      <w:r w:rsidRPr="009C4DC1">
        <w:rPr>
          <w:rFonts w:ascii="Times New Roman" w:eastAsia="Times New Roman" w:hAnsi="Times New Roman" w:cs="Times New Roman"/>
          <w:lang w:eastAsia="zh-CN"/>
        </w:rPr>
        <w:fldChar w:fldCharType="end"/>
      </w: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C4DC1" w:rsidRPr="009C4DC1" w:rsidRDefault="009C4DC1" w:rsidP="009C4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9C4DC1" w:rsidRPr="009C4DC1" w:rsidRDefault="009C4DC1" w:rsidP="009C4D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9C4DC1" w:rsidRPr="009C4DC1" w:rsidTr="002C5ADE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6F6C96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F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27 079,27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6F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6F6C96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F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27 079,27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6F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6F6C96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35 213,16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6F6C96" w:rsidP="009C4DC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9C4DC1" w:rsidRPr="009C4DC1" w:rsidTr="002C5ADE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9C4DC1" w:rsidRPr="009C4DC1" w:rsidTr="002C5AD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4DC1" w:rsidRPr="009C4DC1" w:rsidRDefault="009C4DC1" w:rsidP="009C4DC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DC1" w:rsidRPr="009C4DC1" w:rsidTr="002C5ADE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6F6C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6F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92 106,97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DC1" w:rsidRPr="009C4DC1" w:rsidRDefault="009C4DC1" w:rsidP="009C4D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C4DC1" w:rsidRPr="009C4DC1" w:rsidRDefault="009C4DC1" w:rsidP="009C4D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9C4DC1" w:rsidRPr="009C4DC1" w:rsidTr="002C5ADE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9C4DC1" w:rsidRPr="009C4DC1" w:rsidTr="002C5ADE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9C4DC1" w:rsidRPr="009C4DC1" w:rsidTr="002C5ADE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9C4DC1" w:rsidRPr="009C4DC1" w:rsidTr="002C5ADE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9C4DC1" w:rsidRPr="009C4DC1" w:rsidTr="002C5ADE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Мира д. 14</w:t>
            </w:r>
          </w:p>
        </w:tc>
      </w:tr>
      <w:tr w:rsidR="009C4DC1" w:rsidRPr="009C4DC1" w:rsidTr="002C5AD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DC1" w:rsidRPr="009C4DC1" w:rsidRDefault="009C4DC1" w:rsidP="009C4D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9C4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9C4DC1" w:rsidRPr="009C4DC1" w:rsidRDefault="009C4DC1" w:rsidP="009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9C4DC1" w:rsidRPr="009C4DC1" w:rsidTr="002C5ADE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9C4DC1" w:rsidRPr="009C4DC1" w:rsidTr="002C5ADE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9C4DC1" w:rsidRPr="009C4DC1" w:rsidTr="002C5ADE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6F6C96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138 705,96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4DC1" w:rsidRPr="009C4DC1" w:rsidRDefault="006F6C96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11 558,83</w:t>
            </w:r>
          </w:p>
        </w:tc>
      </w:tr>
      <w:tr w:rsidR="009C4DC1" w:rsidRPr="009C4DC1" w:rsidTr="002C5ADE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9C4DC1" w:rsidP="009C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1" w:rsidRPr="009C4DC1" w:rsidRDefault="006F6C96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138 705,96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6F6C96" w:rsidP="009C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11 558,83</w:t>
            </w:r>
          </w:p>
        </w:tc>
      </w:tr>
    </w:tbl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C1" w:rsidRPr="009C4DC1" w:rsidRDefault="009C4DC1" w:rsidP="009C4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4D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4DC1" w:rsidRPr="009C4DC1" w:rsidRDefault="009C4DC1" w:rsidP="009C4DC1">
      <w:pPr>
        <w:spacing w:after="0" w:line="240" w:lineRule="auto"/>
        <w:jc w:val="center"/>
        <w:outlineLvl w:val="0"/>
      </w:pPr>
    </w:p>
    <w:p w:rsidR="009C4DC1" w:rsidRPr="009C4DC1" w:rsidRDefault="009C4DC1" w:rsidP="009C4DC1"/>
    <w:p w:rsidR="009C4DC1" w:rsidRPr="009C4DC1" w:rsidRDefault="009C4DC1" w:rsidP="009C4DC1"/>
    <w:p w:rsidR="009C4DC1" w:rsidRPr="009C4DC1" w:rsidRDefault="009C4DC1" w:rsidP="009C4DC1"/>
    <w:p w:rsidR="00DF17D6" w:rsidRDefault="00DF17D6"/>
    <w:sectPr w:rsidR="00DF17D6" w:rsidSect="009477CD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5D" w:rsidRDefault="0043785D">
      <w:pPr>
        <w:spacing w:after="0" w:line="240" w:lineRule="auto"/>
      </w:pPr>
      <w:r>
        <w:separator/>
      </w:r>
    </w:p>
  </w:endnote>
  <w:endnote w:type="continuationSeparator" w:id="0">
    <w:p w:rsidR="0043785D" w:rsidRDefault="0043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6F6C96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F54AF">
      <w:rPr>
        <w:rStyle w:val="af3"/>
        <w:noProof/>
      </w:rPr>
      <w:t>5</w:t>
    </w:r>
    <w:r>
      <w:rPr>
        <w:rStyle w:val="af3"/>
      </w:rPr>
      <w:fldChar w:fldCharType="end"/>
    </w:r>
  </w:p>
  <w:p w:rsidR="0019739B" w:rsidRDefault="0043785D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6F6C96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F54AF">
      <w:rPr>
        <w:rStyle w:val="af3"/>
        <w:noProof/>
      </w:rPr>
      <w:t>71</w:t>
    </w:r>
    <w:r>
      <w:rPr>
        <w:rStyle w:val="af3"/>
      </w:rPr>
      <w:fldChar w:fldCharType="end"/>
    </w:r>
  </w:p>
  <w:p w:rsidR="0019739B" w:rsidRDefault="0043785D" w:rsidP="009477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5D" w:rsidRDefault="0043785D">
      <w:pPr>
        <w:spacing w:after="0" w:line="240" w:lineRule="auto"/>
      </w:pPr>
      <w:r>
        <w:separator/>
      </w:r>
    </w:p>
  </w:footnote>
  <w:footnote w:type="continuationSeparator" w:id="0">
    <w:p w:rsidR="0043785D" w:rsidRDefault="0043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43785D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43785D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43785D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43785D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9B"/>
    <w:rsid w:val="00131B41"/>
    <w:rsid w:val="001A0F7E"/>
    <w:rsid w:val="002B05B3"/>
    <w:rsid w:val="0043785D"/>
    <w:rsid w:val="00545A18"/>
    <w:rsid w:val="00546D4F"/>
    <w:rsid w:val="0066659B"/>
    <w:rsid w:val="00695FA2"/>
    <w:rsid w:val="00696A52"/>
    <w:rsid w:val="006F6C96"/>
    <w:rsid w:val="0070566B"/>
    <w:rsid w:val="007066B4"/>
    <w:rsid w:val="0087360B"/>
    <w:rsid w:val="009C4DC1"/>
    <w:rsid w:val="00AA766B"/>
    <w:rsid w:val="00C830C1"/>
    <w:rsid w:val="00CF54AF"/>
    <w:rsid w:val="00DF17D6"/>
    <w:rsid w:val="00EE34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9C4DC1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9C4DC1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C4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9C4DC1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C4D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C4DC1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9C4DC1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C4DC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C4DC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C4DC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C4DC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9C4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C4DC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C4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C4DC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9C4DC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9C4DC1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9C4DC1"/>
  </w:style>
  <w:style w:type="numbering" w:customStyle="1" w:styleId="110">
    <w:name w:val="Нет списка11"/>
    <w:next w:val="a4"/>
    <w:semiHidden/>
    <w:rsid w:val="009C4DC1"/>
  </w:style>
  <w:style w:type="paragraph" w:customStyle="1" w:styleId="a1">
    <w:name w:val="Стиль"/>
    <w:rsid w:val="009C4DC1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9C4DC1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9C4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9C4D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9C4DC1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9C4DC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9C4DC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9C4DC1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9C4DC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9C4DC1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9C4DC1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9C4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9C4DC1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9C4DC1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9C4D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9C4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9C4DC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C4DC1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9C4DC1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9C4DC1"/>
  </w:style>
  <w:style w:type="paragraph" w:styleId="af4">
    <w:name w:val="Plain Text"/>
    <w:basedOn w:val="a0"/>
    <w:link w:val="af5"/>
    <w:rsid w:val="009C4D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9C4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C4DC1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9C4DC1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9C4DC1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9C4DC1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9C4DC1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9C4DC1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9C4DC1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9C4DC1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9C4DC1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9C4D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9C4DC1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9C4DC1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9C4DC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9C4DC1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9C4DC1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9C4DC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9C4DC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9C4DC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9C4DC1"/>
  </w:style>
  <w:style w:type="paragraph" w:styleId="2b">
    <w:name w:val="List Bullet 2"/>
    <w:basedOn w:val="a0"/>
    <w:autoRedefine/>
    <w:rsid w:val="009C4DC1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9C4DC1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9C4DC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9C4DC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9C4DC1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9C4DC1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9C4DC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9C4DC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9C4D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9C4DC1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9C4DC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9C4D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9C4DC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9C4DC1"/>
  </w:style>
  <w:style w:type="character" w:styleId="aff2">
    <w:name w:val="Emphasis"/>
    <w:basedOn w:val="a2"/>
    <w:qFormat/>
    <w:rsid w:val="009C4DC1"/>
    <w:rPr>
      <w:i/>
      <w:iCs/>
    </w:rPr>
  </w:style>
  <w:style w:type="paragraph" w:styleId="aff3">
    <w:name w:val="Note Heading"/>
    <w:basedOn w:val="a0"/>
    <w:next w:val="a0"/>
    <w:link w:val="aff4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9C4D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9C4DC1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9C4DC1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9C4DC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9C4DC1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9C4DC1"/>
  </w:style>
  <w:style w:type="character" w:styleId="HTML4">
    <w:name w:val="HTML Sample"/>
    <w:basedOn w:val="a2"/>
    <w:rsid w:val="009C4DC1"/>
    <w:rPr>
      <w:rFonts w:ascii="Courier New" w:hAnsi="Courier New" w:cs="Courier New"/>
    </w:rPr>
  </w:style>
  <w:style w:type="paragraph" w:styleId="2e">
    <w:name w:val="envelope return"/>
    <w:basedOn w:val="a0"/>
    <w:rsid w:val="009C4DC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9C4DC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9C4DC1"/>
    <w:rPr>
      <w:i/>
      <w:iCs/>
    </w:rPr>
  </w:style>
  <w:style w:type="character" w:styleId="HTML6">
    <w:name w:val="HTML Variable"/>
    <w:basedOn w:val="a2"/>
    <w:rsid w:val="009C4DC1"/>
    <w:rPr>
      <w:i/>
      <w:iCs/>
    </w:rPr>
  </w:style>
  <w:style w:type="character" w:styleId="HTML7">
    <w:name w:val="HTML Typewriter"/>
    <w:basedOn w:val="a2"/>
    <w:rsid w:val="009C4DC1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9C4DC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9C4D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9C4DC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9C4DC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9C4DC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9C4DC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9C4DC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9C4DC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9C4DC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9C4DC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9C4DC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9C4DC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9C4DC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9C4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9C4DC1"/>
    <w:rPr>
      <w:b/>
      <w:bCs/>
    </w:rPr>
  </w:style>
  <w:style w:type="character" w:styleId="HTMLa">
    <w:name w:val="HTML Cite"/>
    <w:basedOn w:val="a2"/>
    <w:rsid w:val="009C4DC1"/>
    <w:rPr>
      <w:i/>
      <w:iCs/>
    </w:rPr>
  </w:style>
  <w:style w:type="paragraph" w:styleId="afff2">
    <w:name w:val="Message Header"/>
    <w:basedOn w:val="a0"/>
    <w:link w:val="afff3"/>
    <w:rsid w:val="009C4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9C4DC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9C4DC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9C4DC1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9C4DC1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9C4DC1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9C4DC1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9C4DC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9C4DC1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9C4DC1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9C4DC1"/>
    <w:rPr>
      <w:sz w:val="24"/>
      <w:szCs w:val="24"/>
      <w:lang w:val="ru-RU" w:eastAsia="ru-RU"/>
    </w:rPr>
  </w:style>
  <w:style w:type="paragraph" w:customStyle="1" w:styleId="afff8">
    <w:name w:val="текст"/>
    <w:rsid w:val="009C4DC1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9C4DC1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9C4DC1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9C4DC1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9C4DC1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9C4D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9C4DC1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9C4D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9C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9C4D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9C4DC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9C4D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9C4DC1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9C4DC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9C4DC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9C4D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9C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9C4DC1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9C4DC1"/>
  </w:style>
  <w:style w:type="paragraph" w:styleId="affff3">
    <w:name w:val="footnote text"/>
    <w:basedOn w:val="a0"/>
    <w:link w:val="1a"/>
    <w:uiPriority w:val="99"/>
    <w:semiHidden/>
    <w:unhideWhenUsed/>
    <w:rsid w:val="009C4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9C4DC1"/>
    <w:rPr>
      <w:sz w:val="20"/>
      <w:szCs w:val="20"/>
    </w:rPr>
  </w:style>
  <w:style w:type="paragraph" w:styleId="affff5">
    <w:name w:val="No Spacing"/>
    <w:uiPriority w:val="99"/>
    <w:qFormat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9C4DC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9C4DC1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9C4D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9C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9C4DC1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9C4DC1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9C4DC1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9C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9C4DC1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9C4DC1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C4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9C4DC1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C4D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C4DC1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9C4DC1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C4DC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C4DC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C4DC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C4DC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9C4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C4DC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C4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C4DC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9C4DC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9C4DC1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9C4DC1"/>
  </w:style>
  <w:style w:type="numbering" w:customStyle="1" w:styleId="110">
    <w:name w:val="Нет списка11"/>
    <w:next w:val="a4"/>
    <w:semiHidden/>
    <w:rsid w:val="009C4DC1"/>
  </w:style>
  <w:style w:type="paragraph" w:customStyle="1" w:styleId="a1">
    <w:name w:val="Стиль"/>
    <w:rsid w:val="009C4DC1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9C4DC1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9C4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9C4D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9C4DC1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9C4DC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9C4DC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9C4DC1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9C4DC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9C4DC1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9C4DC1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9C4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9C4DC1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9C4DC1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9C4D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9C4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9C4DC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C4DC1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9C4DC1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9C4DC1"/>
  </w:style>
  <w:style w:type="paragraph" w:styleId="af4">
    <w:name w:val="Plain Text"/>
    <w:basedOn w:val="a0"/>
    <w:link w:val="af5"/>
    <w:rsid w:val="009C4D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9C4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C4DC1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9C4DC1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9C4DC1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9C4DC1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9C4DC1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9C4DC1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9C4DC1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9C4DC1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9C4DC1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9C4D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9C4D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9C4DC1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9C4DC1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9C4DC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9C4DC1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9C4DC1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9C4DC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9C4DC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9C4DC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9C4DC1"/>
  </w:style>
  <w:style w:type="paragraph" w:styleId="2b">
    <w:name w:val="List Bullet 2"/>
    <w:basedOn w:val="a0"/>
    <w:autoRedefine/>
    <w:rsid w:val="009C4DC1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9C4DC1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9C4DC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9C4DC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9C4DC1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9C4DC1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9C4DC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9C4DC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9C4D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9C4DC1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9C4DC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9C4D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9C4DC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9C4DC1"/>
  </w:style>
  <w:style w:type="character" w:styleId="aff2">
    <w:name w:val="Emphasis"/>
    <w:basedOn w:val="a2"/>
    <w:qFormat/>
    <w:rsid w:val="009C4DC1"/>
    <w:rPr>
      <w:i/>
      <w:iCs/>
    </w:rPr>
  </w:style>
  <w:style w:type="paragraph" w:styleId="aff3">
    <w:name w:val="Note Heading"/>
    <w:basedOn w:val="a0"/>
    <w:next w:val="a0"/>
    <w:link w:val="aff4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9C4D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9C4DC1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9C4DC1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9C4DC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9C4DC1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9C4DC1"/>
  </w:style>
  <w:style w:type="character" w:styleId="HTML4">
    <w:name w:val="HTML Sample"/>
    <w:basedOn w:val="a2"/>
    <w:rsid w:val="009C4DC1"/>
    <w:rPr>
      <w:rFonts w:ascii="Courier New" w:hAnsi="Courier New" w:cs="Courier New"/>
    </w:rPr>
  </w:style>
  <w:style w:type="paragraph" w:styleId="2e">
    <w:name w:val="envelope return"/>
    <w:basedOn w:val="a0"/>
    <w:rsid w:val="009C4DC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9C4DC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9C4DC1"/>
    <w:rPr>
      <w:i/>
      <w:iCs/>
    </w:rPr>
  </w:style>
  <w:style w:type="character" w:styleId="HTML6">
    <w:name w:val="HTML Variable"/>
    <w:basedOn w:val="a2"/>
    <w:rsid w:val="009C4DC1"/>
    <w:rPr>
      <w:i/>
      <w:iCs/>
    </w:rPr>
  </w:style>
  <w:style w:type="character" w:styleId="HTML7">
    <w:name w:val="HTML Typewriter"/>
    <w:basedOn w:val="a2"/>
    <w:rsid w:val="009C4DC1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9C4DC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9C4DC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9C4DC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9C4DC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9C4DC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9C4DC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9C4DC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9C4DC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9C4DC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9C4DC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9C4DC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9C4DC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9C4DC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9C4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9C4DC1"/>
    <w:rPr>
      <w:b/>
      <w:bCs/>
    </w:rPr>
  </w:style>
  <w:style w:type="character" w:styleId="HTMLa">
    <w:name w:val="HTML Cite"/>
    <w:basedOn w:val="a2"/>
    <w:rsid w:val="009C4DC1"/>
    <w:rPr>
      <w:i/>
      <w:iCs/>
    </w:rPr>
  </w:style>
  <w:style w:type="paragraph" w:styleId="afff2">
    <w:name w:val="Message Header"/>
    <w:basedOn w:val="a0"/>
    <w:link w:val="afff3"/>
    <w:rsid w:val="009C4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9C4DC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9C4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9C4DC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9C4DC1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9C4DC1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9C4DC1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9C4DC1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9C4DC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9C4DC1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9C4DC1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9C4DC1"/>
    <w:rPr>
      <w:sz w:val="24"/>
      <w:szCs w:val="24"/>
      <w:lang w:val="ru-RU" w:eastAsia="ru-RU"/>
    </w:rPr>
  </w:style>
  <w:style w:type="paragraph" w:customStyle="1" w:styleId="afff8">
    <w:name w:val="текст"/>
    <w:rsid w:val="009C4DC1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9C4DC1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9C4DC1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9C4DC1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9C4DC1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9C4D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9C4DC1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9C4D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9C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9C4D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9C4DC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9C4D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9C4DC1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9C4DC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9C4DC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9C4D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9C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9C4DC1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9C4DC1"/>
  </w:style>
  <w:style w:type="paragraph" w:styleId="affff3">
    <w:name w:val="footnote text"/>
    <w:basedOn w:val="a0"/>
    <w:link w:val="1a"/>
    <w:uiPriority w:val="99"/>
    <w:semiHidden/>
    <w:unhideWhenUsed/>
    <w:rsid w:val="009C4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9C4DC1"/>
    <w:rPr>
      <w:sz w:val="20"/>
      <w:szCs w:val="20"/>
    </w:rPr>
  </w:style>
  <w:style w:type="paragraph" w:styleId="affff5">
    <w:name w:val="No Spacing"/>
    <w:uiPriority w:val="99"/>
    <w:qFormat/>
    <w:rsid w:val="009C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9C4DC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9C4DC1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9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9C4D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9C4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9C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9C4DC1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9C4DC1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9C4DC1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9C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FD63895812CB4676BF97EACBBD730B49915C937FAD7BC84AF1B30FAE598A20BB680E30FFF8B192kDG6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0664F069B8F4F0261CFF33840BD8A1B8DD94EC33A17AB3FC24656C824F67785971E0D50617A8F05ICJ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2.wmf"/><Relationship Id="rId29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08B5B33FAF065FAAD2C1305A6F220CC574BF10D4D27F044BAC03C43EEB4C5095A066244DCD4A15w9M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A6328B052EF41F0DED7FF138C8DF7AC22970B6B89AAEBF72E148D1E66D139F2433AFD1DSBUFM" TargetMode="External"/><Relationship Id="rId23" Type="http://schemas.openxmlformats.org/officeDocument/2006/relationships/hyperlink" Target="consultantplus://offline/ref=FBFD63895812CB4676BF97EACBBD730B4992589072A97BC84AF1B30FAE598A20BB680E36kFG6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20AE-B49C-4A10-935B-95828D8B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71</Pages>
  <Words>23891</Words>
  <Characters>136184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2017-06-16T07:44:00Z</cp:lastPrinted>
  <dcterms:created xsi:type="dcterms:W3CDTF">2017-06-16T07:39:00Z</dcterms:created>
  <dcterms:modified xsi:type="dcterms:W3CDTF">2017-06-16T10:30:00Z</dcterms:modified>
</cp:coreProperties>
</file>